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D3" w:rsidRDefault="00674692" w:rsidP="00674692">
      <w:pPr>
        <w:jc w:val="center"/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High Desert</w:t>
      </w:r>
    </w:p>
    <w:p w:rsidR="00674692" w:rsidRDefault="00674692" w:rsidP="00674692">
      <w:pPr>
        <w:jc w:val="center"/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1</w:t>
      </w:r>
      <w:r w:rsidRPr="00674692">
        <w:rPr>
          <w:rFonts w:ascii="Californian FB" w:hAnsi="Californian FB"/>
          <w:b/>
          <w:sz w:val="40"/>
          <w:szCs w:val="40"/>
          <w:vertAlign w:val="superscript"/>
        </w:rPr>
        <w:t>st</w:t>
      </w:r>
      <w:r>
        <w:rPr>
          <w:rFonts w:ascii="Californian FB" w:hAnsi="Californian FB"/>
          <w:b/>
          <w:sz w:val="40"/>
          <w:szCs w:val="40"/>
        </w:rPr>
        <w:t>, 2</w:t>
      </w:r>
      <w:r w:rsidRPr="00674692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and 3</w:t>
      </w:r>
      <w:r w:rsidRPr="00674692">
        <w:rPr>
          <w:rFonts w:ascii="Californian FB" w:hAnsi="Californian FB"/>
          <w:b/>
          <w:sz w:val="40"/>
          <w:szCs w:val="40"/>
          <w:vertAlign w:val="superscript"/>
        </w:rPr>
        <w:t>rd</w:t>
      </w:r>
      <w:r>
        <w:rPr>
          <w:rFonts w:ascii="Californian FB" w:hAnsi="Californian FB"/>
          <w:b/>
          <w:sz w:val="40"/>
          <w:szCs w:val="40"/>
        </w:rPr>
        <w:t xml:space="preserve"> Quarters Combined</w:t>
      </w:r>
    </w:p>
    <w:p w:rsidR="00674692" w:rsidRPr="00674692" w:rsidRDefault="00674692" w:rsidP="00674692">
      <w:pPr>
        <w:jc w:val="center"/>
        <w:rPr>
          <w:rFonts w:ascii="Californian FB" w:hAnsi="Californian FB"/>
          <w:b/>
          <w:sz w:val="40"/>
          <w:szCs w:val="40"/>
        </w:rPr>
      </w:pPr>
      <w:bookmarkStart w:id="0" w:name="_GoBack"/>
      <w:r w:rsidRPr="00674692">
        <w:rPr>
          <w:noProof/>
          <w:color w:val="8496B0" w:themeColor="text2" w:themeTint="99"/>
          <w:shd w:val="clear" w:color="auto" w:fill="FFFF00"/>
        </w:rPr>
        <w:drawing>
          <wp:inline distT="0" distB="0" distL="0" distR="0" wp14:anchorId="0255E3D6" wp14:editId="7F176468">
            <wp:extent cx="8858250" cy="57816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74692" w:rsidRPr="00674692" w:rsidSect="006746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92"/>
    <w:rsid w:val="005B38D3"/>
    <w:rsid w:val="006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3AA0C-C41F-410A-A480-75CB02A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Californian FB" panose="0207040306080B030204" pitchFamily="18" charset="0"/>
              </a:rPr>
              <a:t>3,852</a:t>
            </a:r>
            <a:r>
              <a:rPr lang="en-US" baseline="0">
                <a:latin typeface="Californian FB" panose="0207040306080B030204" pitchFamily="18" charset="0"/>
              </a:rPr>
              <a:t> Homes Sold</a:t>
            </a:r>
            <a:endParaRPr lang="en-US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172</c:v>
                </c:pt>
                <c:pt idx="1">
                  <c:v>405</c:v>
                </c:pt>
                <c:pt idx="2">
                  <c:v>660</c:v>
                </c:pt>
                <c:pt idx="3">
                  <c:v>698</c:v>
                </c:pt>
                <c:pt idx="4">
                  <c:v>620</c:v>
                </c:pt>
                <c:pt idx="5">
                  <c:v>500</c:v>
                </c:pt>
                <c:pt idx="6">
                  <c:v>262</c:v>
                </c:pt>
                <c:pt idx="7">
                  <c:v>201</c:v>
                </c:pt>
                <c:pt idx="8">
                  <c:v>105</c:v>
                </c:pt>
                <c:pt idx="9">
                  <c:v>68</c:v>
                </c:pt>
                <c:pt idx="10">
                  <c:v>79</c:v>
                </c:pt>
                <c:pt idx="11">
                  <c:v>41</c:v>
                </c:pt>
                <c:pt idx="12">
                  <c:v>21</c:v>
                </c:pt>
                <c:pt idx="13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4503288"/>
        <c:axId val="344503680"/>
        <c:axId val="0"/>
      </c:bar3DChart>
      <c:catAx>
        <c:axId val="344503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503680"/>
        <c:crosses val="autoZero"/>
        <c:auto val="1"/>
        <c:lblAlgn val="ctr"/>
        <c:lblOffset val="100"/>
        <c:noMultiLvlLbl val="0"/>
      </c:catAx>
      <c:valAx>
        <c:axId val="3445036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4503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2016-12-05T22:01:00Z</dcterms:created>
  <dcterms:modified xsi:type="dcterms:W3CDTF">2016-12-05T22:07:00Z</dcterms:modified>
</cp:coreProperties>
</file>